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一、报价要求：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报价过程中出现商品规格、型号不全面导致无法报价情况，应及时联系相关业务人员。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采购品必须按照买方规定品牌及规格型号要求，原则上提供产品合格证，材质单或检测报告。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所有产品必须为正品，符合国标或行业标准，包装完整，标识清晰，严禁三无产品。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报价项目遵循同等条件下单项最低报价中标原则，报价供应商可以参与单项或多项物资的竞争报价。某一采购项目，若有两个或多个报价相同且均为最低报价的，我方将发起多轮报价或分别议价，直至出现单一最低报价供应商为止。确定中标单位及中标项后，禁止供应商因只有单项或多项中标而弃标的情况，如有发生，我方将根据相关管理制度进行考评，情节严重者将纳入禁入名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年内出现三次及以上弃标或错报，将其加入禁入名单（即黑名单）。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售后服务差且多次交流无果，对我方正当诉求不理会或敷衍；一个项目关联企业同时报价等涉嫌围标、串标；拒不提供完税证明；出现重大经营危机，且不能正常生产；不履行社会责任、不提供社会承诺；资质过期或被注销、提供虚假资质等行为，将其加入禁入名单（即黑名单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到货验收：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中标单位需在规定的到货期限内送货。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如到货物资验收不合格，存在主观以次充好现象，损害我方利益、名誉或影响正常采购行为将其加入禁入名单（即黑名单）。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未按要求的规格、型号、品牌、技术要求等送货的，允许供应商在规定的到货周期内换货一次，如仍未达到要求，将其加入禁入名单（即黑名单）。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对于无正当理由停供、故意拖延发货并给我公司造成经济损失等重大违约的供应商，将其加入禁入名单（即黑名单）。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5、其他未尽事宜按国家标准执行。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三、付款方式：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到货验收合格，卖方提供13%税额的全额增值税专用发票后，买方分期承兑付款。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四、交货地点：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项目现场或买方指定地点。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五、运输车辆要求：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卖方送货到达买方场地，运费由卖方承担，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zh-CN" w:eastAsia="zh-CN" w:bidi="ar"/>
        </w:rPr>
        <w:t>运输途中必须遵守国家相关法律法规，如遇任何风险由卖方负责，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进厂后符合买方厂规等相关规定，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zh-CN" w:eastAsia="zh-CN" w:bidi="ar"/>
        </w:rPr>
        <w:t>若因运输车辆不符合国家规定环保排放标准及相关管控要求，导致不能进入买受人厂区的，按未到货处理。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六、超交货期要求：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zh-CN" w:eastAsia="zh-CN" w:bidi="ar"/>
        </w:rPr>
        <w:t>违约责任：到货期每逾期一天（不可抗力因素除外），卖方向买方支付总货款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zh-CN" w:eastAsia="zh-CN" w:bidi="ar"/>
        </w:rPr>
        <w:t>%的违约金。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七、其他事项：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zh-CN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zh-CN" w:eastAsia="zh-CN" w:bidi="ar"/>
        </w:rPr>
        <w:t>双方约定的其他事项：卖方应遵守对买方的社会责任承诺。买方已通过GB/T24001-2016环境管理体系和GB/T45001-2020职业健康安全管理体系认证，请卖方遵守相关的法律法规。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2、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zh-CN" w:eastAsia="zh-CN" w:bidi="ar"/>
        </w:rPr>
        <w:t xml:space="preserve">合同争议的解决方式：合同在履行过程中发生的争议，由双方当事人协商解决；协商或调解不成的，依法向买方所在地人民法院起诉。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3、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zh-CN" w:eastAsia="zh-CN" w:bidi="ar"/>
        </w:rPr>
        <w:t>供应商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如有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zh-CN" w:eastAsia="zh-CN" w:bidi="ar"/>
        </w:rPr>
        <w:t>正当诉求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可电话联系相关项目负责人或发送邮件至企业公开邮箱：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instrText xml:space="preserve"> HYPERLINK "mailto:syrdcaigou@163.com"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fldChar w:fldCharType="separate"/>
      </w:r>
      <w:r>
        <w:rPr>
          <w:rStyle w:val="4"/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highlight w:val="none"/>
          <w:lang w:val="en-US" w:eastAsia="zh-CN" w:bidi="ar"/>
        </w:rPr>
        <w:t>syrdcaigou@163.com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4.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报价方式：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隆道云线上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报价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，价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低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者中标。合格的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报价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单位需注册成为隆道云成员后进入隆道云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报价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，非隆道云成员将不能参加本次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报价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，请各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报价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单位访问隆道云采购平台(www.longdaoyun.com)点击进入，按系统中要求流程完成注册和资格信息填报工作，隆道云客服热线：010-58851111。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42EE4C"/>
    <w:multiLevelType w:val="singleLevel"/>
    <w:tmpl w:val="9B42EE4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0F68E7C"/>
    <w:multiLevelType w:val="singleLevel"/>
    <w:tmpl w:val="A0F68E7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87DCE78"/>
    <w:multiLevelType w:val="singleLevel"/>
    <w:tmpl w:val="E87DCE7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ZTJiOWMxODU2ZWY3OGNkMGExYjdiYTYwMmJkODQifQ=="/>
  </w:docVars>
  <w:rsids>
    <w:rsidRoot w:val="00000000"/>
    <w:rsid w:val="051377B2"/>
    <w:rsid w:val="0D7877B1"/>
    <w:rsid w:val="110139F1"/>
    <w:rsid w:val="13432BE8"/>
    <w:rsid w:val="1D426E17"/>
    <w:rsid w:val="25DC1294"/>
    <w:rsid w:val="28CA4ADD"/>
    <w:rsid w:val="302D2C37"/>
    <w:rsid w:val="366B11D8"/>
    <w:rsid w:val="3A647A49"/>
    <w:rsid w:val="3F0831E2"/>
    <w:rsid w:val="49913D32"/>
    <w:rsid w:val="4A257C99"/>
    <w:rsid w:val="4CD62D3F"/>
    <w:rsid w:val="538A488C"/>
    <w:rsid w:val="54732FDB"/>
    <w:rsid w:val="61E10346"/>
    <w:rsid w:val="679A2153"/>
    <w:rsid w:val="70206D1B"/>
    <w:rsid w:val="792C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377</Characters>
  <Lines>0</Lines>
  <Paragraphs>0</Paragraphs>
  <TotalTime>50</TotalTime>
  <ScaleCrop>false</ScaleCrop>
  <LinksUpToDate>false</LinksUpToDate>
  <CharactersWithSpaces>377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2023-04-06T06:23:00Z</dcterms:created>
  <dc:creator>liyue</dc:creator>
  <cp:lastModifiedBy>Administrator</cp:lastModifiedBy>
  <cp:lastPrinted>2023-08-14T02:36:00Z</cp:lastPrinted>
  <dcterms:modified xsi:type="dcterms:W3CDTF">2025-09-04T01:20:20Z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7AB5A08DA5C041BA9B98AFE435DE68C1_13</vt:lpwstr>
  </property>
</Properties>
</file>